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4C33B" w14:textId="77777777" w:rsidR="006D3607" w:rsidRDefault="006D3607" w:rsidP="000B12B9">
      <w:pPr>
        <w:pStyle w:val="ListParagraph"/>
        <w:numPr>
          <w:ilvl w:val="0"/>
          <w:numId w:val="1"/>
        </w:numPr>
        <w:tabs>
          <w:tab w:val="left" w:pos="567"/>
        </w:tabs>
        <w:kinsoku w:val="0"/>
        <w:overflowPunct w:val="0"/>
        <w:spacing w:before="240"/>
        <w:ind w:left="567"/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 xml:space="preserve">The </w:t>
      </w:r>
      <w:r>
        <w:rPr>
          <w:spacing w:val="-5"/>
          <w:sz w:val="22"/>
          <w:szCs w:val="22"/>
        </w:rPr>
        <w:t xml:space="preserve">Board </w:t>
      </w:r>
      <w:r>
        <w:rPr>
          <w:spacing w:val="-3"/>
          <w:sz w:val="22"/>
          <w:szCs w:val="22"/>
        </w:rPr>
        <w:t xml:space="preserve">of the </w:t>
      </w:r>
      <w:r>
        <w:rPr>
          <w:spacing w:val="-4"/>
          <w:sz w:val="22"/>
          <w:szCs w:val="22"/>
        </w:rPr>
        <w:t xml:space="preserve">Residential Tenancies Authority </w:t>
      </w:r>
      <w:r>
        <w:rPr>
          <w:spacing w:val="-3"/>
          <w:sz w:val="22"/>
          <w:szCs w:val="22"/>
        </w:rPr>
        <w:t xml:space="preserve">(the </w:t>
      </w:r>
      <w:r>
        <w:rPr>
          <w:spacing w:val="-6"/>
          <w:sz w:val="22"/>
          <w:szCs w:val="22"/>
        </w:rPr>
        <w:t xml:space="preserve">Board) </w:t>
      </w:r>
      <w:r>
        <w:rPr>
          <w:sz w:val="22"/>
          <w:szCs w:val="22"/>
        </w:rPr>
        <w:t xml:space="preserve">is </w:t>
      </w:r>
      <w:r>
        <w:rPr>
          <w:spacing w:val="-6"/>
          <w:sz w:val="22"/>
          <w:szCs w:val="22"/>
        </w:rPr>
        <w:t xml:space="preserve">established under </w:t>
      </w:r>
      <w:r>
        <w:rPr>
          <w:sz w:val="22"/>
          <w:szCs w:val="22"/>
        </w:rPr>
        <w:t xml:space="preserve">the </w:t>
      </w:r>
      <w:r>
        <w:rPr>
          <w:i/>
          <w:iCs/>
          <w:spacing w:val="-6"/>
          <w:sz w:val="22"/>
          <w:szCs w:val="22"/>
        </w:rPr>
        <w:t>Residential Tenancies</w:t>
      </w:r>
      <w:r>
        <w:rPr>
          <w:i/>
          <w:iCs/>
          <w:spacing w:val="-10"/>
          <w:sz w:val="22"/>
          <w:szCs w:val="22"/>
        </w:rPr>
        <w:t xml:space="preserve"> </w:t>
      </w:r>
      <w:r>
        <w:rPr>
          <w:i/>
          <w:iCs/>
          <w:spacing w:val="-4"/>
          <w:sz w:val="22"/>
          <w:szCs w:val="22"/>
        </w:rPr>
        <w:t>and</w:t>
      </w:r>
      <w:r>
        <w:rPr>
          <w:i/>
          <w:iCs/>
          <w:spacing w:val="-12"/>
          <w:sz w:val="22"/>
          <w:szCs w:val="22"/>
        </w:rPr>
        <w:t xml:space="preserve"> </w:t>
      </w:r>
      <w:r>
        <w:rPr>
          <w:i/>
          <w:iCs/>
          <w:spacing w:val="-6"/>
          <w:sz w:val="22"/>
          <w:szCs w:val="22"/>
        </w:rPr>
        <w:t>Rooming</w:t>
      </w:r>
      <w:r>
        <w:rPr>
          <w:i/>
          <w:iCs/>
          <w:spacing w:val="-12"/>
          <w:sz w:val="22"/>
          <w:szCs w:val="22"/>
        </w:rPr>
        <w:t xml:space="preserve"> </w:t>
      </w:r>
      <w:r>
        <w:rPr>
          <w:i/>
          <w:iCs/>
          <w:spacing w:val="-6"/>
          <w:sz w:val="22"/>
          <w:szCs w:val="22"/>
        </w:rPr>
        <w:t>Accommodation</w:t>
      </w:r>
      <w:r>
        <w:rPr>
          <w:i/>
          <w:iCs/>
          <w:spacing w:val="-10"/>
          <w:sz w:val="22"/>
          <w:szCs w:val="22"/>
        </w:rPr>
        <w:t xml:space="preserve"> </w:t>
      </w:r>
      <w:r>
        <w:rPr>
          <w:i/>
          <w:iCs/>
          <w:spacing w:val="-5"/>
          <w:sz w:val="22"/>
          <w:szCs w:val="22"/>
        </w:rPr>
        <w:t>Act</w:t>
      </w:r>
      <w:r>
        <w:rPr>
          <w:i/>
          <w:iCs/>
          <w:spacing w:val="-9"/>
          <w:sz w:val="22"/>
          <w:szCs w:val="22"/>
        </w:rPr>
        <w:t xml:space="preserve"> </w:t>
      </w:r>
      <w:r>
        <w:rPr>
          <w:i/>
          <w:iCs/>
          <w:spacing w:val="-5"/>
          <w:sz w:val="22"/>
          <w:szCs w:val="22"/>
        </w:rPr>
        <w:t>2008</w:t>
      </w:r>
      <w:r>
        <w:rPr>
          <w:i/>
          <w:iCs/>
          <w:spacing w:val="-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(the</w:t>
      </w:r>
      <w:r>
        <w:rPr>
          <w:spacing w:val="-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Act).</w:t>
      </w:r>
      <w:r>
        <w:rPr>
          <w:spacing w:val="-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The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Board</w:t>
      </w:r>
      <w:r>
        <w:rPr>
          <w:spacing w:val="-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is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responsible</w:t>
      </w:r>
      <w:r>
        <w:rPr>
          <w:spacing w:val="-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for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the</w:t>
      </w:r>
      <w:r>
        <w:rPr>
          <w:spacing w:val="-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way </w:t>
      </w:r>
      <w:r>
        <w:rPr>
          <w:spacing w:val="-4"/>
          <w:sz w:val="22"/>
          <w:szCs w:val="22"/>
        </w:rPr>
        <w:t xml:space="preserve">that the </w:t>
      </w:r>
      <w:r>
        <w:rPr>
          <w:spacing w:val="-5"/>
          <w:sz w:val="22"/>
          <w:szCs w:val="22"/>
        </w:rPr>
        <w:t xml:space="preserve">Residential Tenancies Authority </w:t>
      </w:r>
      <w:r>
        <w:rPr>
          <w:spacing w:val="-4"/>
          <w:sz w:val="22"/>
          <w:szCs w:val="22"/>
        </w:rPr>
        <w:t xml:space="preserve">(RTA) performs its </w:t>
      </w:r>
      <w:r>
        <w:rPr>
          <w:spacing w:val="-5"/>
          <w:sz w:val="22"/>
          <w:szCs w:val="22"/>
        </w:rPr>
        <w:t xml:space="preserve">functions </w:t>
      </w:r>
      <w:r>
        <w:rPr>
          <w:spacing w:val="-3"/>
          <w:sz w:val="22"/>
          <w:szCs w:val="22"/>
        </w:rPr>
        <w:t xml:space="preserve">and </w:t>
      </w:r>
      <w:r>
        <w:rPr>
          <w:spacing w:val="-5"/>
          <w:sz w:val="22"/>
          <w:szCs w:val="22"/>
        </w:rPr>
        <w:t xml:space="preserve">exercises </w:t>
      </w:r>
      <w:r>
        <w:rPr>
          <w:spacing w:val="-4"/>
          <w:sz w:val="22"/>
          <w:szCs w:val="22"/>
        </w:rPr>
        <w:t xml:space="preserve">its </w:t>
      </w:r>
      <w:r>
        <w:rPr>
          <w:spacing w:val="-5"/>
          <w:sz w:val="22"/>
          <w:szCs w:val="22"/>
        </w:rPr>
        <w:t xml:space="preserve">powers, </w:t>
      </w:r>
      <w:r>
        <w:rPr>
          <w:spacing w:val="-4"/>
          <w:sz w:val="22"/>
          <w:szCs w:val="22"/>
        </w:rPr>
        <w:t xml:space="preserve">and </w:t>
      </w:r>
      <w:r>
        <w:rPr>
          <w:spacing w:val="-3"/>
          <w:sz w:val="22"/>
          <w:szCs w:val="22"/>
        </w:rPr>
        <w:t xml:space="preserve">for </w:t>
      </w:r>
      <w:r>
        <w:rPr>
          <w:spacing w:val="-5"/>
          <w:sz w:val="22"/>
          <w:szCs w:val="22"/>
        </w:rPr>
        <w:t xml:space="preserve">ensuring </w:t>
      </w:r>
      <w:r>
        <w:rPr>
          <w:spacing w:val="-4"/>
          <w:sz w:val="22"/>
          <w:szCs w:val="22"/>
        </w:rPr>
        <w:t xml:space="preserve">the </w:t>
      </w:r>
      <w:r>
        <w:rPr>
          <w:spacing w:val="-3"/>
          <w:sz w:val="22"/>
          <w:szCs w:val="22"/>
        </w:rPr>
        <w:t xml:space="preserve">RTA </w:t>
      </w:r>
      <w:r>
        <w:rPr>
          <w:spacing w:val="-4"/>
          <w:sz w:val="22"/>
          <w:szCs w:val="22"/>
        </w:rPr>
        <w:t xml:space="preserve">performs its </w:t>
      </w:r>
      <w:r>
        <w:rPr>
          <w:spacing w:val="-5"/>
          <w:sz w:val="22"/>
          <w:szCs w:val="22"/>
        </w:rPr>
        <w:t xml:space="preserve">functions </w:t>
      </w:r>
      <w:r>
        <w:rPr>
          <w:spacing w:val="-3"/>
          <w:sz w:val="22"/>
          <w:szCs w:val="22"/>
        </w:rPr>
        <w:t xml:space="preserve">in </w:t>
      </w:r>
      <w:r>
        <w:rPr>
          <w:sz w:val="22"/>
          <w:szCs w:val="22"/>
        </w:rPr>
        <w:t xml:space="preserve">an </w:t>
      </w:r>
      <w:r>
        <w:rPr>
          <w:spacing w:val="-5"/>
          <w:sz w:val="22"/>
          <w:szCs w:val="22"/>
        </w:rPr>
        <w:t xml:space="preserve">appropriate, effective </w:t>
      </w:r>
      <w:r>
        <w:rPr>
          <w:spacing w:val="-3"/>
          <w:sz w:val="22"/>
          <w:szCs w:val="22"/>
        </w:rPr>
        <w:t xml:space="preserve">and </w:t>
      </w:r>
      <w:r>
        <w:rPr>
          <w:spacing w:val="-5"/>
          <w:sz w:val="22"/>
          <w:szCs w:val="22"/>
        </w:rPr>
        <w:t>efficient</w:t>
      </w:r>
      <w:r>
        <w:rPr>
          <w:spacing w:val="-1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way.</w:t>
      </w:r>
    </w:p>
    <w:p w14:paraId="6D74C33D" w14:textId="77777777" w:rsidR="006D3607" w:rsidRDefault="006D3607" w:rsidP="000B12B9">
      <w:pPr>
        <w:pStyle w:val="ListParagraph"/>
        <w:numPr>
          <w:ilvl w:val="0"/>
          <w:numId w:val="1"/>
        </w:numPr>
        <w:tabs>
          <w:tab w:val="left" w:pos="567"/>
        </w:tabs>
        <w:kinsoku w:val="0"/>
        <w:overflowPunct w:val="0"/>
        <w:spacing w:before="240"/>
        <w:ind w:left="567"/>
        <w:rPr>
          <w:spacing w:val="-5"/>
          <w:sz w:val="22"/>
          <w:szCs w:val="22"/>
        </w:rPr>
      </w:pPr>
      <w:r>
        <w:rPr>
          <w:sz w:val="22"/>
          <w:szCs w:val="22"/>
        </w:rPr>
        <w:t xml:space="preserve">The </w:t>
      </w:r>
      <w:r>
        <w:rPr>
          <w:spacing w:val="-5"/>
          <w:sz w:val="22"/>
          <w:szCs w:val="22"/>
        </w:rPr>
        <w:t xml:space="preserve">membership </w:t>
      </w:r>
      <w:r>
        <w:rPr>
          <w:sz w:val="22"/>
          <w:szCs w:val="22"/>
        </w:rPr>
        <w:t xml:space="preserve">of the </w:t>
      </w:r>
      <w:r>
        <w:rPr>
          <w:spacing w:val="-5"/>
          <w:sz w:val="22"/>
          <w:szCs w:val="22"/>
        </w:rPr>
        <w:t xml:space="preserve">Board comprises </w:t>
      </w:r>
      <w:r>
        <w:rPr>
          <w:sz w:val="22"/>
          <w:szCs w:val="22"/>
        </w:rPr>
        <w:t xml:space="preserve">a </w:t>
      </w:r>
      <w:r>
        <w:rPr>
          <w:spacing w:val="-5"/>
          <w:sz w:val="22"/>
          <w:szCs w:val="22"/>
        </w:rPr>
        <w:t xml:space="preserve">Chairperson </w:t>
      </w:r>
      <w:r>
        <w:rPr>
          <w:spacing w:val="-4"/>
          <w:sz w:val="22"/>
          <w:szCs w:val="22"/>
        </w:rPr>
        <w:t xml:space="preserve">and </w:t>
      </w:r>
      <w:r>
        <w:rPr>
          <w:spacing w:val="-3"/>
          <w:sz w:val="22"/>
          <w:szCs w:val="22"/>
        </w:rPr>
        <w:t xml:space="preserve">six </w:t>
      </w:r>
      <w:r>
        <w:rPr>
          <w:spacing w:val="-4"/>
          <w:sz w:val="22"/>
          <w:szCs w:val="22"/>
        </w:rPr>
        <w:t>other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Directors.</w:t>
      </w:r>
    </w:p>
    <w:p w14:paraId="6D74C33F" w14:textId="77777777" w:rsidR="006D3607" w:rsidRDefault="006D3607" w:rsidP="000B12B9">
      <w:pPr>
        <w:pStyle w:val="ListParagraph"/>
        <w:numPr>
          <w:ilvl w:val="0"/>
          <w:numId w:val="1"/>
        </w:numPr>
        <w:tabs>
          <w:tab w:val="left" w:pos="567"/>
        </w:tabs>
        <w:kinsoku w:val="0"/>
        <w:overflowPunct w:val="0"/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Section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474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Act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provides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Director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appointed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term,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more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than three years, as decided by the Governor in</w:t>
      </w:r>
      <w:r>
        <w:rPr>
          <w:spacing w:val="-22"/>
          <w:sz w:val="22"/>
          <w:szCs w:val="22"/>
        </w:rPr>
        <w:t xml:space="preserve"> </w:t>
      </w:r>
      <w:r>
        <w:rPr>
          <w:sz w:val="22"/>
          <w:szCs w:val="22"/>
        </w:rPr>
        <w:t>Council.</w:t>
      </w:r>
    </w:p>
    <w:p w14:paraId="6D74C341" w14:textId="77777777" w:rsidR="006D3607" w:rsidRDefault="006D3607" w:rsidP="000B12B9">
      <w:pPr>
        <w:pStyle w:val="ListParagraph"/>
        <w:numPr>
          <w:ilvl w:val="0"/>
          <w:numId w:val="1"/>
        </w:numPr>
        <w:tabs>
          <w:tab w:val="left" w:pos="567"/>
        </w:tabs>
        <w:kinsoku w:val="0"/>
        <w:overflowPunct w:val="0"/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Cabinet endorsed</w:t>
      </w:r>
      <w:r w:rsidRPr="00D32A11">
        <w:rPr>
          <w:sz w:val="22"/>
          <w:szCs w:val="22"/>
        </w:rPr>
        <w:t xml:space="preserve"> </w:t>
      </w:r>
      <w:r>
        <w:rPr>
          <w:sz w:val="22"/>
          <w:szCs w:val="22"/>
        </w:rPr>
        <w:t>that Mr Steve Ryan, Ms Sally Watson and Ms Janet Benson be recommended to the Governor in Council for reappointment as Directors to the Board of the Residential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Tenancies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Authority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term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three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years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commencing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November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2019 until 31 October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2022.</w:t>
      </w:r>
    </w:p>
    <w:p w14:paraId="6D74C343" w14:textId="460E4532" w:rsidR="006D3607" w:rsidRDefault="006D3607" w:rsidP="000B12B9">
      <w:pPr>
        <w:pStyle w:val="ListParagraph"/>
        <w:numPr>
          <w:ilvl w:val="0"/>
          <w:numId w:val="1"/>
        </w:numPr>
        <w:tabs>
          <w:tab w:val="left" w:pos="567"/>
        </w:tabs>
        <w:kinsoku w:val="0"/>
        <w:overflowPunct w:val="0"/>
        <w:spacing w:before="360"/>
        <w:ind w:left="567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Attachments</w:t>
      </w:r>
    </w:p>
    <w:p w14:paraId="6D74C345" w14:textId="77777777" w:rsidR="006D3607" w:rsidRDefault="006D3607" w:rsidP="000B12B9">
      <w:pPr>
        <w:pStyle w:val="ListParagraph"/>
        <w:numPr>
          <w:ilvl w:val="2"/>
          <w:numId w:val="1"/>
        </w:numPr>
        <w:kinsoku w:val="0"/>
        <w:overflowPunct w:val="0"/>
        <w:spacing w:before="120"/>
        <w:ind w:left="993" w:hanging="428"/>
        <w:rPr>
          <w:sz w:val="22"/>
          <w:szCs w:val="22"/>
        </w:rPr>
      </w:pPr>
      <w:r>
        <w:rPr>
          <w:sz w:val="22"/>
          <w:szCs w:val="22"/>
        </w:rPr>
        <w:t>Nil.</w:t>
      </w:r>
    </w:p>
    <w:sectPr w:rsidR="006D3607" w:rsidSect="001A44A5">
      <w:headerReference w:type="default" r:id="rId10"/>
      <w:type w:val="continuous"/>
      <w:pgSz w:w="11907" w:h="16840" w:code="9"/>
      <w:pgMar w:top="1134" w:right="1134" w:bottom="1134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A7DCE" w14:textId="77777777" w:rsidR="008354B4" w:rsidRDefault="008354B4" w:rsidP="001A44A5">
      <w:r>
        <w:separator/>
      </w:r>
    </w:p>
  </w:endnote>
  <w:endnote w:type="continuationSeparator" w:id="0">
    <w:p w14:paraId="073FA2A3" w14:textId="77777777" w:rsidR="008354B4" w:rsidRDefault="008354B4" w:rsidP="001A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966C8" w14:textId="77777777" w:rsidR="008354B4" w:rsidRDefault="008354B4" w:rsidP="001A44A5">
      <w:r>
        <w:separator/>
      </w:r>
    </w:p>
  </w:footnote>
  <w:footnote w:type="continuationSeparator" w:id="0">
    <w:p w14:paraId="05A98AAE" w14:textId="77777777" w:rsidR="008354B4" w:rsidRDefault="008354B4" w:rsidP="001A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6B1BD" w14:textId="77777777" w:rsidR="001A44A5" w:rsidRPr="00937A4A" w:rsidRDefault="001A44A5" w:rsidP="001A44A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  <w:szCs w:val="22"/>
        <w:lang w:eastAsia="en-US"/>
      </w:rPr>
    </w:pPr>
    <w:r w:rsidRPr="00937A4A">
      <w:rPr>
        <w:b/>
        <w:sz w:val="28"/>
        <w:szCs w:val="22"/>
        <w:lang w:eastAsia="en-US"/>
      </w:rPr>
      <w:t>Queensland Government</w:t>
    </w:r>
  </w:p>
  <w:p w14:paraId="33DD935A" w14:textId="77777777" w:rsidR="001A44A5" w:rsidRPr="00937A4A" w:rsidRDefault="001A44A5" w:rsidP="001A44A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szCs w:val="22"/>
        <w:u w:val="single"/>
        <w:lang w:eastAsia="en-US"/>
      </w:rPr>
    </w:pPr>
  </w:p>
  <w:p w14:paraId="566AA88E" w14:textId="2601F286" w:rsidR="001A44A5" w:rsidRPr="00937A4A" w:rsidRDefault="001A44A5" w:rsidP="001A44A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  <w:sz w:val="22"/>
        <w:szCs w:val="22"/>
        <w:lang w:eastAsia="en-US"/>
      </w:rPr>
    </w:pPr>
    <w:r w:rsidRPr="00937A4A">
      <w:rPr>
        <w:b/>
        <w:sz w:val="22"/>
        <w:szCs w:val="22"/>
        <w:lang w:eastAsia="en-US"/>
      </w:rPr>
      <w:t xml:space="preserve">Cabinet – </w:t>
    </w:r>
    <w:r>
      <w:rPr>
        <w:b/>
        <w:sz w:val="22"/>
        <w:szCs w:val="22"/>
        <w:lang w:eastAsia="en-US"/>
      </w:rPr>
      <w:t>October 2019</w:t>
    </w:r>
  </w:p>
  <w:p w14:paraId="54D126A7" w14:textId="52421C3C" w:rsidR="001A44A5" w:rsidRDefault="001A44A5" w:rsidP="001A44A5">
    <w:pPr>
      <w:pStyle w:val="Header"/>
      <w:spacing w:before="120"/>
      <w:rPr>
        <w:b/>
        <w:sz w:val="22"/>
        <w:szCs w:val="22"/>
        <w:u w:val="single"/>
      </w:rPr>
    </w:pPr>
    <w:r>
      <w:rPr>
        <w:b/>
        <w:sz w:val="22"/>
        <w:szCs w:val="22"/>
        <w:u w:val="single"/>
      </w:rPr>
      <w:t>Appointment of Directors to the Board of the Residential Tenancies Authority</w:t>
    </w:r>
  </w:p>
  <w:p w14:paraId="76C4B10D" w14:textId="6D388D2F" w:rsidR="001A44A5" w:rsidRDefault="001A44A5" w:rsidP="001A44A5">
    <w:pPr>
      <w:pStyle w:val="Header"/>
      <w:spacing w:before="120"/>
      <w:rPr>
        <w:b/>
        <w:sz w:val="22"/>
        <w:szCs w:val="22"/>
        <w:u w:val="single"/>
      </w:rPr>
    </w:pPr>
    <w:r>
      <w:rPr>
        <w:b/>
        <w:sz w:val="22"/>
        <w:szCs w:val="22"/>
        <w:u w:val="single"/>
      </w:rPr>
      <w:t>Minister for Housing and Public Works, Minister for Digital Technology and Minister for Sport</w:t>
    </w:r>
  </w:p>
  <w:p w14:paraId="72C93E80" w14:textId="77777777" w:rsidR="001A44A5" w:rsidRDefault="001A44A5" w:rsidP="001A44A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98" w:hanging="567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84" w:hanging="286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194" w:hanging="286"/>
      </w:pPr>
    </w:lvl>
    <w:lvl w:ilvl="3">
      <w:numFmt w:val="bullet"/>
      <w:lvlText w:val="•"/>
      <w:lvlJc w:val="left"/>
      <w:pPr>
        <w:ind w:left="3209" w:hanging="286"/>
      </w:pPr>
    </w:lvl>
    <w:lvl w:ilvl="4">
      <w:numFmt w:val="bullet"/>
      <w:lvlText w:val="•"/>
      <w:lvlJc w:val="left"/>
      <w:pPr>
        <w:ind w:left="4223" w:hanging="286"/>
      </w:pPr>
    </w:lvl>
    <w:lvl w:ilvl="5">
      <w:numFmt w:val="bullet"/>
      <w:lvlText w:val="•"/>
      <w:lvlJc w:val="left"/>
      <w:pPr>
        <w:ind w:left="5238" w:hanging="286"/>
      </w:pPr>
    </w:lvl>
    <w:lvl w:ilvl="6">
      <w:numFmt w:val="bullet"/>
      <w:lvlText w:val="•"/>
      <w:lvlJc w:val="left"/>
      <w:pPr>
        <w:ind w:left="6252" w:hanging="286"/>
      </w:pPr>
    </w:lvl>
    <w:lvl w:ilvl="7">
      <w:numFmt w:val="bullet"/>
      <w:lvlText w:val="•"/>
      <w:lvlJc w:val="left"/>
      <w:pPr>
        <w:ind w:left="7267" w:hanging="286"/>
      </w:pPr>
    </w:lvl>
    <w:lvl w:ilvl="8">
      <w:numFmt w:val="bullet"/>
      <w:lvlText w:val="•"/>
      <w:lvlJc w:val="left"/>
      <w:pPr>
        <w:ind w:left="8282" w:hanging="28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C1"/>
    <w:rsid w:val="000B12B9"/>
    <w:rsid w:val="001A44A5"/>
    <w:rsid w:val="001D5AC1"/>
    <w:rsid w:val="003A6685"/>
    <w:rsid w:val="003D6658"/>
    <w:rsid w:val="006D3607"/>
    <w:rsid w:val="008354B4"/>
    <w:rsid w:val="00CA76E8"/>
    <w:rsid w:val="00D32A11"/>
    <w:rsid w:val="00E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74C33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8"/>
      <w:ind w:left="332"/>
      <w:outlineLvl w:val="0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98" w:hanging="566"/>
    </w:p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A44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4A5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4A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E0D20-D9A9-4ACD-8378-DCD429C5F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39B802-7E8B-400F-9856-838DD764EF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1D96AC-0D17-4333-91D7-CBA43603E6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769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CAB—Proactive Release Summary</vt:lpstr>
    </vt:vector>
  </TitlesOfParts>
  <Company/>
  <LinksUpToDate>false</LinksUpToDate>
  <CharactersWithSpaces>915</CharactersWithSpaces>
  <SharedDoc>false</SharedDoc>
  <HyperlinkBase>https://www.cabinet.qld.gov.au/documents/2019/Oct/ApptsRTA/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CAB—Proactive Release Summary</dc:title>
  <dc:subject/>
  <dc:creator/>
  <cp:keywords>cabinet; proactive release</cp:keywords>
  <dc:description/>
  <cp:lastModifiedBy/>
  <cp:revision>7</cp:revision>
  <dcterms:created xsi:type="dcterms:W3CDTF">2020-01-16T04:07:00Z</dcterms:created>
  <dcterms:modified xsi:type="dcterms:W3CDTF">2020-07-19T22:00:00Z</dcterms:modified>
  <cp:category>Significant_Appointments,Housing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  <property fmtid="{D5CDD505-2E9C-101B-9397-08002B2CF9AE}" pid="3" name="ContentTypeId">
    <vt:lpwstr>0x010100DDE14CFDD070B24F85F5DE43654FF01E</vt:lpwstr>
  </property>
</Properties>
</file>